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06" w:rsidRDefault="00A15106">
      <w:pPr>
        <w:pStyle w:val="Title"/>
      </w:pPr>
      <w:r>
        <w:t>RA1 – A -- SAMPLE</w:t>
      </w:r>
    </w:p>
    <w:p w:rsidR="00880D14" w:rsidRPr="00130EB1" w:rsidRDefault="00A15106" w:rsidP="00130EB1">
      <w:pPr>
        <w:pStyle w:val="Subtitle"/>
        <w:rPr>
          <w:rStyle w:val="Subtitlebold"/>
        </w:rPr>
      </w:pPr>
      <w:r w:rsidRPr="00130EB1">
        <w:rPr>
          <w:rStyle w:val="Subtitlebold"/>
        </w:rPr>
        <w:t>Reappointment Using GS Rate as Highest Previous Rate (HPR)</w:t>
      </w:r>
    </w:p>
    <w:p w:rsidR="00A15106" w:rsidRPr="00130EB1" w:rsidRDefault="00880D14" w:rsidP="00130EB1">
      <w:pPr>
        <w:pStyle w:val="Subtitle"/>
      </w:pPr>
      <w:r w:rsidRPr="00130EB1">
        <w:t xml:space="preserve"> </w:t>
      </w:r>
      <w:r w:rsidR="00A15106" w:rsidRPr="00130EB1">
        <w:t xml:space="preserve">Previous Position Held: Staff Assistant, GS-301-9, Step 2 </w:t>
      </w:r>
    </w:p>
    <w:p w:rsidR="00A15106" w:rsidRPr="00130EB1" w:rsidRDefault="00A15106" w:rsidP="00130EB1">
      <w:pPr>
        <w:pStyle w:val="Subtitle"/>
      </w:pPr>
      <w:r w:rsidRPr="00130EB1">
        <w:t xml:space="preserve">Highest Previous Rate:  $32,437 (including locality supplement) </w:t>
      </w:r>
    </w:p>
    <w:p w:rsidR="00A15106" w:rsidRPr="00130EB1" w:rsidRDefault="00A15106" w:rsidP="00130EB1">
      <w:pPr>
        <w:pStyle w:val="Subtitle"/>
      </w:pPr>
      <w:r w:rsidRPr="00130EB1">
        <w:t>Location of Previous Held Position:  Portland, Oregon</w:t>
      </w:r>
    </w:p>
    <w:p w:rsidR="00A15106" w:rsidRPr="00130EB1" w:rsidRDefault="00A15106" w:rsidP="00130EB1">
      <w:pPr>
        <w:pStyle w:val="Subtitle"/>
      </w:pPr>
      <w:r w:rsidRPr="00130EB1">
        <w:t xml:space="preserve">Year of Last Position Held:  1997 </w:t>
      </w:r>
    </w:p>
    <w:p w:rsidR="00A15106" w:rsidRPr="00273789" w:rsidRDefault="00A15106">
      <w:pPr>
        <w:rPr>
          <w:rFonts w:cs="Arial"/>
          <w:sz w:val="24"/>
        </w:rPr>
      </w:pPr>
      <w:r w:rsidRPr="00BC56DC">
        <w:rPr>
          <w:rStyle w:val="Strong"/>
        </w:rPr>
        <w:t>Employee Name:</w:t>
      </w:r>
      <w:r w:rsidRPr="00273789">
        <w:rPr>
          <w:rFonts w:cs="Arial"/>
          <w:sz w:val="24"/>
        </w:rPr>
        <w:t xml:space="preserve">  </w:t>
      </w:r>
      <w:r w:rsidRPr="00273789">
        <w:rPr>
          <w:rFonts w:cs="Arial"/>
          <w:bCs/>
          <w:sz w:val="24"/>
        </w:rPr>
        <w:t>Kathy Jones</w:t>
      </w:r>
      <w:r w:rsidRPr="00273789">
        <w:rPr>
          <w:rFonts w:cs="Arial"/>
          <w:sz w:val="24"/>
        </w:rPr>
        <w:t xml:space="preserve"> </w:t>
      </w:r>
    </w:p>
    <w:p w:rsidR="00A15106" w:rsidRPr="00273789" w:rsidRDefault="00A15106">
      <w:pPr>
        <w:rPr>
          <w:rFonts w:cs="Arial"/>
          <w:bCs/>
          <w:sz w:val="24"/>
        </w:rPr>
      </w:pPr>
      <w:r w:rsidRPr="00BC56DC">
        <w:rPr>
          <w:rStyle w:val="Strong"/>
        </w:rPr>
        <w:t xml:space="preserve">Position being </w:t>
      </w:r>
      <w:proofErr w:type="gramStart"/>
      <w:r w:rsidRPr="00BC56DC">
        <w:rPr>
          <w:rStyle w:val="Strong"/>
        </w:rPr>
        <w:t>Reappointed</w:t>
      </w:r>
      <w:proofErr w:type="gramEnd"/>
      <w:r w:rsidRPr="00BC56DC">
        <w:rPr>
          <w:rStyle w:val="Strong"/>
        </w:rPr>
        <w:t xml:space="preserve"> to:</w:t>
      </w:r>
      <w:r w:rsidRPr="00273789">
        <w:rPr>
          <w:rFonts w:cs="Arial"/>
          <w:sz w:val="24"/>
        </w:rPr>
        <w:t xml:space="preserve">  </w:t>
      </w:r>
      <w:r w:rsidRPr="00273789">
        <w:rPr>
          <w:rFonts w:cs="Arial"/>
          <w:bCs/>
          <w:sz w:val="24"/>
        </w:rPr>
        <w:t>Administrative Officer</w:t>
      </w:r>
    </w:p>
    <w:p w:rsidR="00A15106" w:rsidRPr="00273789" w:rsidRDefault="00A15106">
      <w:pPr>
        <w:rPr>
          <w:rFonts w:cs="Arial"/>
          <w:sz w:val="24"/>
        </w:rPr>
      </w:pPr>
      <w:r w:rsidRPr="00BC56DC">
        <w:rPr>
          <w:rStyle w:val="Strong"/>
        </w:rPr>
        <w:t>Pay Plan/Series/Grade:</w:t>
      </w:r>
      <w:r w:rsidRPr="00273789">
        <w:rPr>
          <w:rFonts w:cs="Arial"/>
          <w:sz w:val="24"/>
        </w:rPr>
        <w:t xml:space="preserve"> GS-341-7 </w:t>
      </w:r>
    </w:p>
    <w:p w:rsidR="00BF7257" w:rsidRPr="00BF7257" w:rsidRDefault="00BF7257" w:rsidP="00CF769D">
      <w:pPr>
        <w:pStyle w:val="Heading1"/>
        <w:framePr w:hSpace="0" w:wrap="auto" w:vAnchor="margin" w:hAnchor="text" w:yAlign="inline"/>
        <w:suppressOverlap w:val="0"/>
      </w:pPr>
      <w:r w:rsidRPr="00BF7257">
        <w:t>Step A</w:t>
      </w:r>
    </w:p>
    <w:p w:rsidR="00BF7257" w:rsidRPr="00BF7257" w:rsidRDefault="00BF7257" w:rsidP="0087001F">
      <w:pPr>
        <w:spacing w:before="120"/>
        <w:ind w:left="1440"/>
        <w:rPr>
          <w:rFonts w:cs="Arial"/>
          <w:sz w:val="24"/>
        </w:rPr>
      </w:pPr>
      <w:r w:rsidRPr="00BF7257">
        <w:rPr>
          <w:rFonts w:cs="Arial"/>
          <w:sz w:val="24"/>
        </w:rPr>
        <w:t xml:space="preserve">Use the </w:t>
      </w:r>
      <w:r w:rsidRPr="00273789">
        <w:rPr>
          <w:rStyle w:val="Strong"/>
        </w:rPr>
        <w:t>underlying GS rate</w:t>
      </w:r>
      <w:r w:rsidRPr="00BF7257">
        <w:rPr>
          <w:rFonts w:cs="Arial"/>
          <w:sz w:val="24"/>
        </w:rPr>
        <w:t xml:space="preserve"> as the HPR and apply the maximum payable rate rule. </w:t>
      </w:r>
    </w:p>
    <w:p w:rsidR="00880D14" w:rsidRDefault="00BF7257" w:rsidP="0087001F">
      <w:pPr>
        <w:spacing w:before="120"/>
        <w:ind w:left="1440"/>
        <w:rPr>
          <w:rFonts w:cs="Arial"/>
          <w:sz w:val="24"/>
        </w:rPr>
      </w:pPr>
      <w:r w:rsidRPr="00BF7257">
        <w:rPr>
          <w:rFonts w:cs="Arial"/>
          <w:sz w:val="24"/>
        </w:rPr>
        <w:t>Previous Pay Plan/Series/Grade/Step: GS-301-9, Step 2</w:t>
      </w:r>
    </w:p>
    <w:p w:rsidR="00BF7257" w:rsidRPr="00BF7257" w:rsidRDefault="00BF7257" w:rsidP="0087001F">
      <w:pPr>
        <w:spacing w:before="120"/>
        <w:ind w:left="1440"/>
        <w:rPr>
          <w:rFonts w:cs="Arial"/>
          <w:sz w:val="24"/>
        </w:rPr>
      </w:pPr>
      <w:r w:rsidRPr="00BF7257">
        <w:rPr>
          <w:rFonts w:cs="Arial"/>
          <w:sz w:val="24"/>
        </w:rPr>
        <w:t xml:space="preserve">Rate: $32,437 </w:t>
      </w:r>
    </w:p>
    <w:p w:rsidR="00BF7257" w:rsidRPr="00BF7257" w:rsidRDefault="00BF7257" w:rsidP="0087001F">
      <w:pPr>
        <w:spacing w:before="120"/>
        <w:ind w:left="1440"/>
        <w:rPr>
          <w:rFonts w:cs="Arial"/>
          <w:sz w:val="24"/>
        </w:rPr>
      </w:pPr>
      <w:r w:rsidRPr="00BF7257">
        <w:rPr>
          <w:rFonts w:cs="Arial"/>
          <w:sz w:val="24"/>
        </w:rPr>
        <w:t xml:space="preserve">Highest Previous Rate: $30,563 </w:t>
      </w:r>
      <w:r w:rsidRPr="00273789">
        <w:rPr>
          <w:rStyle w:val="Strong"/>
        </w:rPr>
        <w:t>(grade and step of previous position without locality supplement)</w:t>
      </w:r>
    </w:p>
    <w:p w:rsidR="00CF769D" w:rsidRDefault="00130EB1" w:rsidP="00CF769D">
      <w:pPr>
        <w:pStyle w:val="Heading1"/>
        <w:framePr w:hSpace="0" w:wrap="auto" w:vAnchor="margin" w:hAnchor="text" w:yAlign="inline"/>
        <w:suppressOverlap w:val="0"/>
      </w:pPr>
      <w:r>
        <w:t>Step B</w:t>
      </w:r>
    </w:p>
    <w:p w:rsidR="00BF7257" w:rsidRPr="00BF7257" w:rsidRDefault="00BF7257" w:rsidP="00CF769D">
      <w:pPr>
        <w:ind w:left="1440"/>
        <w:rPr>
          <w:rFonts w:cs="Arial"/>
          <w:sz w:val="24"/>
        </w:rPr>
      </w:pPr>
      <w:r w:rsidRPr="00BF7257">
        <w:rPr>
          <w:rFonts w:cs="Arial"/>
          <w:sz w:val="24"/>
        </w:rPr>
        <w:t>Compare the employee’s HPR without locality payment ($30,563) with the GS rates for the year the employee held the grade.  (In this scenario, the 1997 GS Pay Scale is used)</w:t>
      </w:r>
    </w:p>
    <w:p w:rsidR="00BF7257" w:rsidRPr="00273789" w:rsidRDefault="00BF7257" w:rsidP="00CF769D">
      <w:pPr>
        <w:ind w:left="1440"/>
        <w:rPr>
          <w:rStyle w:val="Strong"/>
        </w:rPr>
      </w:pPr>
    </w:p>
    <w:p w:rsidR="00BF7257" w:rsidRPr="00130EB1" w:rsidRDefault="00BF7257" w:rsidP="00130EB1">
      <w:pPr>
        <w:pStyle w:val="Heading2"/>
      </w:pPr>
      <w:r w:rsidRPr="00130EB1">
        <w:t xml:space="preserve">1997 GS-9 Pay Scale </w:t>
      </w:r>
    </w:p>
    <w:tbl>
      <w:tblPr>
        <w:tblStyle w:val="TableGrid"/>
        <w:tblW w:w="1920" w:type="dxa"/>
        <w:tblInd w:w="2880" w:type="dxa"/>
        <w:tblLook w:val="04A0" w:firstRow="1" w:lastRow="0" w:firstColumn="1" w:lastColumn="0" w:noHBand="0" w:noVBand="1"/>
        <w:tblCaption w:val="1997 GS-9 Pay Scale Table "/>
      </w:tblPr>
      <w:tblGrid>
        <w:gridCol w:w="960"/>
        <w:gridCol w:w="960"/>
      </w:tblGrid>
      <w:tr w:rsidR="008D52FB" w:rsidRPr="008D52FB" w:rsidTr="00130EB1">
        <w:trPr>
          <w:cantSplit/>
          <w:trHeight w:val="330"/>
          <w:tblHeader/>
        </w:trPr>
        <w:tc>
          <w:tcPr>
            <w:tcW w:w="960" w:type="dxa"/>
            <w:noWrap/>
            <w:hideMark/>
          </w:tcPr>
          <w:p w:rsidR="008D52FB" w:rsidRPr="008D52FB" w:rsidRDefault="008D52FB" w:rsidP="008D52FB">
            <w:pPr>
              <w:rPr>
                <w:rFonts w:cs="Arial"/>
                <w:color w:val="000000"/>
                <w:sz w:val="24"/>
              </w:rPr>
            </w:pPr>
            <w:r w:rsidRPr="008D52FB">
              <w:rPr>
                <w:rFonts w:cs="Arial"/>
                <w:color w:val="000000"/>
                <w:sz w:val="24"/>
              </w:rPr>
              <w:t>Grade</w:t>
            </w:r>
          </w:p>
        </w:tc>
        <w:tc>
          <w:tcPr>
            <w:tcW w:w="960" w:type="dxa"/>
            <w:noWrap/>
            <w:hideMark/>
          </w:tcPr>
          <w:p w:rsidR="008D52FB" w:rsidRPr="008D52FB" w:rsidRDefault="008D52FB" w:rsidP="008D52FB">
            <w:pPr>
              <w:jc w:val="right"/>
              <w:rPr>
                <w:rFonts w:cs="Arial"/>
                <w:color w:val="000000"/>
                <w:sz w:val="24"/>
              </w:rPr>
            </w:pPr>
            <w:r w:rsidRPr="008D52FB">
              <w:rPr>
                <w:rFonts w:cs="Arial"/>
                <w:color w:val="000000"/>
                <w:sz w:val="24"/>
              </w:rPr>
              <w:t>9</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 xml:space="preserve">Step 1 </w:t>
            </w:r>
          </w:p>
        </w:tc>
        <w:tc>
          <w:tcPr>
            <w:tcW w:w="960" w:type="dxa"/>
            <w:noWrap/>
            <w:hideMark/>
          </w:tcPr>
          <w:p w:rsidR="008D52FB" w:rsidRPr="008D52FB" w:rsidRDefault="008D52FB" w:rsidP="008D52FB">
            <w:pPr>
              <w:jc w:val="right"/>
              <w:rPr>
                <w:rFonts w:cs="Arial"/>
                <w:color w:val="000000"/>
                <w:sz w:val="24"/>
              </w:rPr>
            </w:pPr>
            <w:r w:rsidRPr="008D52FB">
              <w:rPr>
                <w:rFonts w:cs="Arial"/>
                <w:color w:val="000000"/>
                <w:sz w:val="24"/>
              </w:rPr>
              <w:t>29,577</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2</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30,563</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3</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31,549</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4</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32,535</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5</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33,521</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6</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34.507</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7</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35,493</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8</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36,479</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9</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37,465</w:t>
            </w:r>
          </w:p>
        </w:tc>
      </w:tr>
      <w:tr w:rsidR="008D52FB" w:rsidRPr="008D52FB" w:rsidTr="00130EB1">
        <w:trPr>
          <w:cantSplit/>
          <w:trHeight w:val="330"/>
        </w:trPr>
        <w:tc>
          <w:tcPr>
            <w:tcW w:w="960" w:type="dxa"/>
            <w:noWrap/>
            <w:hideMark/>
          </w:tcPr>
          <w:p w:rsidR="008D52FB" w:rsidRPr="008D52FB" w:rsidRDefault="008D52FB" w:rsidP="008D52FB">
            <w:pPr>
              <w:rPr>
                <w:rFonts w:cs="Arial"/>
                <w:color w:val="000000"/>
                <w:sz w:val="24"/>
              </w:rPr>
            </w:pPr>
            <w:r w:rsidRPr="008D52FB">
              <w:rPr>
                <w:rFonts w:cs="Arial"/>
                <w:color w:val="000000"/>
                <w:sz w:val="24"/>
              </w:rPr>
              <w:t>Step 10</w:t>
            </w:r>
          </w:p>
        </w:tc>
        <w:tc>
          <w:tcPr>
            <w:tcW w:w="960" w:type="dxa"/>
            <w:hideMark/>
          </w:tcPr>
          <w:p w:rsidR="008D52FB" w:rsidRPr="008D52FB" w:rsidRDefault="008D52FB" w:rsidP="008D52FB">
            <w:pPr>
              <w:jc w:val="right"/>
              <w:rPr>
                <w:rFonts w:cs="Arial"/>
                <w:color w:val="000000"/>
                <w:sz w:val="24"/>
              </w:rPr>
            </w:pPr>
            <w:r w:rsidRPr="008D52FB">
              <w:rPr>
                <w:rFonts w:cs="Arial"/>
                <w:color w:val="000000"/>
                <w:sz w:val="24"/>
              </w:rPr>
              <w:t>38451</w:t>
            </w:r>
          </w:p>
        </w:tc>
      </w:tr>
    </w:tbl>
    <w:p w:rsidR="00CF769D" w:rsidRDefault="00EC7635" w:rsidP="00CF769D">
      <w:pPr>
        <w:pStyle w:val="Heading1"/>
        <w:framePr w:hSpace="0" w:wrap="auto" w:vAnchor="margin" w:hAnchor="text" w:yAlign="inline"/>
        <w:suppressOverlap w:val="0"/>
      </w:pPr>
      <w:r>
        <w:br w:type="page"/>
      </w:r>
      <w:r w:rsidR="00130EB1">
        <w:lastRenderedPageBreak/>
        <w:t>Step C</w:t>
      </w:r>
    </w:p>
    <w:p w:rsidR="00BF7257" w:rsidRPr="00BF7257" w:rsidRDefault="00BF7257" w:rsidP="0018225B">
      <w:pPr>
        <w:ind w:left="1440"/>
        <w:rPr>
          <w:rFonts w:cs="Arial"/>
          <w:sz w:val="24"/>
        </w:rPr>
      </w:pPr>
      <w:r w:rsidRPr="00BF7257">
        <w:rPr>
          <w:rFonts w:cs="Arial"/>
          <w:sz w:val="24"/>
        </w:rPr>
        <w:t>Identify the lowest step in the grade being reappointed to that is equal to or greater than the employee’s HPR.  The lowest rate for grade GS-7 on the 1997 GS pay scale that equal or exceeds $30,563 is GS-7, Step 9 at a salary of $30,626.</w:t>
      </w:r>
    </w:p>
    <w:p w:rsidR="00EC7635" w:rsidRPr="00130EB1" w:rsidRDefault="00BF7257" w:rsidP="00130EB1">
      <w:pPr>
        <w:pStyle w:val="Heading2"/>
      </w:pPr>
      <w:r w:rsidRPr="00130EB1">
        <w:t>1997 GS Pay Scale (without locality)</w:t>
      </w:r>
    </w:p>
    <w:tbl>
      <w:tblPr>
        <w:tblStyle w:val="TableGrid"/>
        <w:tblW w:w="1920" w:type="dxa"/>
        <w:tblInd w:w="2880" w:type="dxa"/>
        <w:tblLook w:val="04A0" w:firstRow="1" w:lastRow="0" w:firstColumn="1" w:lastColumn="0" w:noHBand="0" w:noVBand="1"/>
        <w:tblCaption w:val="1997 GS Pay Scale (without locality) table "/>
      </w:tblPr>
      <w:tblGrid>
        <w:gridCol w:w="960"/>
        <w:gridCol w:w="960"/>
      </w:tblGrid>
      <w:tr w:rsidR="00EC7635" w:rsidRPr="00EC7635" w:rsidTr="00130EB1">
        <w:trPr>
          <w:cantSplit/>
          <w:trHeight w:val="330"/>
          <w:tblHeader/>
        </w:trPr>
        <w:tc>
          <w:tcPr>
            <w:tcW w:w="960" w:type="dxa"/>
            <w:noWrap/>
            <w:hideMark/>
          </w:tcPr>
          <w:p w:rsidR="00EC7635" w:rsidRPr="00EC7635" w:rsidRDefault="00EC7635" w:rsidP="00EC7635">
            <w:pPr>
              <w:rPr>
                <w:rFonts w:cs="Arial"/>
                <w:color w:val="000000"/>
                <w:sz w:val="24"/>
              </w:rPr>
            </w:pPr>
            <w:r w:rsidRPr="00EC7635">
              <w:rPr>
                <w:rFonts w:cs="Arial"/>
                <w:color w:val="000000"/>
                <w:sz w:val="24"/>
              </w:rPr>
              <w:t>Grade</w:t>
            </w:r>
          </w:p>
        </w:tc>
        <w:tc>
          <w:tcPr>
            <w:tcW w:w="960" w:type="dxa"/>
            <w:noWrap/>
            <w:hideMark/>
          </w:tcPr>
          <w:p w:rsidR="00EC7635" w:rsidRPr="00EC7635" w:rsidRDefault="00EC7635" w:rsidP="00EC7635">
            <w:pPr>
              <w:jc w:val="right"/>
              <w:rPr>
                <w:rFonts w:cs="Arial"/>
                <w:color w:val="000000"/>
                <w:sz w:val="24"/>
              </w:rPr>
            </w:pPr>
            <w:r w:rsidRPr="00EC7635">
              <w:rPr>
                <w:rFonts w:cs="Arial"/>
                <w:color w:val="000000"/>
                <w:sz w:val="24"/>
              </w:rPr>
              <w:t>7</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 xml:space="preserve">Step 1 </w:t>
            </w:r>
          </w:p>
        </w:tc>
        <w:tc>
          <w:tcPr>
            <w:tcW w:w="960" w:type="dxa"/>
            <w:noWrap/>
            <w:hideMark/>
          </w:tcPr>
          <w:p w:rsidR="00EC7635" w:rsidRPr="00EC7635" w:rsidRDefault="00EC7635" w:rsidP="00EC7635">
            <w:pPr>
              <w:jc w:val="right"/>
              <w:rPr>
                <w:rFonts w:cs="Arial"/>
                <w:color w:val="000000"/>
                <w:sz w:val="24"/>
              </w:rPr>
            </w:pPr>
            <w:r w:rsidRPr="00EC7635">
              <w:rPr>
                <w:rFonts w:cs="Arial"/>
                <w:color w:val="000000"/>
                <w:sz w:val="24"/>
              </w:rPr>
              <w:t>24,178</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2</w:t>
            </w:r>
          </w:p>
        </w:tc>
        <w:tc>
          <w:tcPr>
            <w:tcW w:w="960" w:type="dxa"/>
            <w:noWrap/>
            <w:hideMark/>
          </w:tcPr>
          <w:p w:rsidR="00EC7635" w:rsidRPr="00EC7635" w:rsidRDefault="00EC7635" w:rsidP="00EC7635">
            <w:pPr>
              <w:jc w:val="right"/>
              <w:rPr>
                <w:rFonts w:cs="Arial"/>
                <w:color w:val="000000"/>
                <w:sz w:val="24"/>
              </w:rPr>
            </w:pPr>
            <w:r w:rsidRPr="00EC7635">
              <w:rPr>
                <w:rFonts w:cs="Arial"/>
                <w:color w:val="000000"/>
                <w:sz w:val="24"/>
              </w:rPr>
              <w:t>24984</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3</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25,790</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4</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26,596</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5</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27,402</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6</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28,208</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7</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29,014</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8</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29,820</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9</w:t>
            </w:r>
          </w:p>
        </w:tc>
        <w:tc>
          <w:tcPr>
            <w:tcW w:w="960" w:type="dxa"/>
            <w:noWrap/>
            <w:hideMark/>
          </w:tcPr>
          <w:p w:rsidR="00EC7635" w:rsidRPr="00EC7635" w:rsidRDefault="00EC7635" w:rsidP="00EC7635">
            <w:pPr>
              <w:jc w:val="right"/>
              <w:rPr>
                <w:rFonts w:cs="Arial"/>
                <w:color w:val="000000"/>
                <w:sz w:val="24"/>
              </w:rPr>
            </w:pPr>
            <w:r w:rsidRPr="00EC7635">
              <w:rPr>
                <w:rFonts w:cs="Arial"/>
                <w:color w:val="000000"/>
                <w:sz w:val="24"/>
              </w:rPr>
              <w:t>30626</w:t>
            </w:r>
          </w:p>
        </w:tc>
      </w:tr>
      <w:tr w:rsidR="00EC7635" w:rsidRPr="00EC7635" w:rsidTr="00130EB1">
        <w:trPr>
          <w:cantSplit/>
          <w:trHeight w:val="330"/>
        </w:trPr>
        <w:tc>
          <w:tcPr>
            <w:tcW w:w="960" w:type="dxa"/>
            <w:noWrap/>
            <w:hideMark/>
          </w:tcPr>
          <w:p w:rsidR="00EC7635" w:rsidRPr="00EC7635" w:rsidRDefault="00EC7635" w:rsidP="00EC7635">
            <w:pPr>
              <w:rPr>
                <w:rFonts w:cs="Arial"/>
                <w:color w:val="000000"/>
                <w:sz w:val="24"/>
              </w:rPr>
            </w:pPr>
            <w:r w:rsidRPr="00EC7635">
              <w:rPr>
                <w:rFonts w:cs="Arial"/>
                <w:color w:val="000000"/>
                <w:sz w:val="24"/>
              </w:rPr>
              <w:t>Step 10</w:t>
            </w:r>
          </w:p>
        </w:tc>
        <w:tc>
          <w:tcPr>
            <w:tcW w:w="960" w:type="dxa"/>
            <w:hideMark/>
          </w:tcPr>
          <w:p w:rsidR="00EC7635" w:rsidRPr="00EC7635" w:rsidRDefault="00EC7635" w:rsidP="00EC7635">
            <w:pPr>
              <w:jc w:val="right"/>
              <w:rPr>
                <w:rFonts w:cs="Arial"/>
                <w:color w:val="000000"/>
                <w:sz w:val="24"/>
              </w:rPr>
            </w:pPr>
            <w:r w:rsidRPr="00EC7635">
              <w:rPr>
                <w:rFonts w:cs="Arial"/>
                <w:color w:val="000000"/>
                <w:sz w:val="24"/>
              </w:rPr>
              <w:t>31,432</w:t>
            </w:r>
          </w:p>
        </w:tc>
      </w:tr>
    </w:tbl>
    <w:p w:rsidR="00BF7257" w:rsidRPr="00BF7257" w:rsidRDefault="00BF7257" w:rsidP="0018225B">
      <w:pPr>
        <w:ind w:left="1440"/>
        <w:rPr>
          <w:rFonts w:cs="Arial"/>
          <w:sz w:val="24"/>
        </w:rPr>
      </w:pPr>
    </w:p>
    <w:p w:rsidR="00880D14" w:rsidRDefault="00BF7257" w:rsidP="00880D14">
      <w:pPr>
        <w:ind w:left="1440"/>
        <w:rPr>
          <w:rFonts w:cs="Arial"/>
          <w:sz w:val="24"/>
        </w:rPr>
      </w:pPr>
      <w:r w:rsidRPr="00BF7257">
        <w:rPr>
          <w:rFonts w:cs="Arial"/>
          <w:sz w:val="24"/>
        </w:rPr>
        <w:t>Pay Plan/Series/Grade/Step: GS-301-7/9</w:t>
      </w:r>
    </w:p>
    <w:p w:rsidR="00BF7257" w:rsidRPr="00BF7257" w:rsidRDefault="00BF7257" w:rsidP="00880D14">
      <w:pPr>
        <w:ind w:left="1440"/>
        <w:rPr>
          <w:rFonts w:cs="Arial"/>
          <w:sz w:val="24"/>
        </w:rPr>
      </w:pPr>
      <w:r w:rsidRPr="00BF7257">
        <w:rPr>
          <w:rFonts w:cs="Arial"/>
          <w:sz w:val="24"/>
        </w:rPr>
        <w:t>Rate:  $30,626</w:t>
      </w:r>
    </w:p>
    <w:p w:rsidR="00CF769D" w:rsidRDefault="00130EB1" w:rsidP="00CF769D">
      <w:pPr>
        <w:pStyle w:val="Heading1"/>
        <w:framePr w:hSpace="0" w:wrap="auto" w:vAnchor="margin" w:hAnchor="text" w:yAlign="inline"/>
        <w:suppressOverlap w:val="0"/>
      </w:pPr>
      <w:r>
        <w:t>Step D</w:t>
      </w:r>
    </w:p>
    <w:p w:rsidR="00BF7257" w:rsidRDefault="00BF7257" w:rsidP="0018225B">
      <w:pPr>
        <w:ind w:left="1440"/>
        <w:rPr>
          <w:rFonts w:cs="Arial"/>
          <w:sz w:val="24"/>
        </w:rPr>
      </w:pPr>
      <w:r w:rsidRPr="00BF7257">
        <w:rPr>
          <w:rFonts w:cs="Arial"/>
          <w:sz w:val="24"/>
        </w:rPr>
        <w:t xml:space="preserve">Move the grade and step from Step C above to the </w:t>
      </w:r>
      <w:r w:rsidRPr="00273789">
        <w:rPr>
          <w:rStyle w:val="Strong"/>
        </w:rPr>
        <w:t>current grade and step</w:t>
      </w:r>
      <w:r w:rsidRPr="00BF7257">
        <w:rPr>
          <w:rFonts w:cs="Arial"/>
          <w:sz w:val="24"/>
        </w:rPr>
        <w:t xml:space="preserve"> of the position of reappointment.  The GS-7, Step 9, rate on the 2005 GS is $38,719.  </w:t>
      </w:r>
    </w:p>
    <w:p w:rsidR="00130EB1" w:rsidRPr="00BF7257" w:rsidRDefault="00130EB1" w:rsidP="0018225B">
      <w:pPr>
        <w:ind w:left="1440"/>
        <w:rPr>
          <w:rFonts w:cs="Arial"/>
          <w:sz w:val="24"/>
        </w:rPr>
      </w:pPr>
    </w:p>
    <w:p w:rsidR="00D22702" w:rsidRPr="00130EB1" w:rsidRDefault="00BF7257" w:rsidP="00130EB1">
      <w:pPr>
        <w:pStyle w:val="Heading2"/>
      </w:pPr>
      <w:r w:rsidRPr="00130EB1">
        <w:t>2005 GS Pay Scale (without locality)</w:t>
      </w:r>
    </w:p>
    <w:tbl>
      <w:tblPr>
        <w:tblW w:w="1920" w:type="dxa"/>
        <w:tblInd w:w="2880" w:type="dxa"/>
        <w:tblLook w:val="04A0" w:firstRow="1" w:lastRow="0" w:firstColumn="1" w:lastColumn="0" w:noHBand="0" w:noVBand="1"/>
        <w:tblCaption w:val="2005 GS Pay Scale (without locality)"/>
      </w:tblPr>
      <w:tblGrid>
        <w:gridCol w:w="960"/>
        <w:gridCol w:w="960"/>
      </w:tblGrid>
      <w:tr w:rsidR="00D22702" w:rsidRPr="00D22702" w:rsidTr="00130EB1">
        <w:trPr>
          <w:cantSplit/>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Grade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D22702" w:rsidRPr="00D22702" w:rsidRDefault="00D22702" w:rsidP="00D22702">
            <w:pPr>
              <w:jc w:val="right"/>
              <w:rPr>
                <w:rFonts w:cs="Arial"/>
                <w:color w:val="000000"/>
                <w:sz w:val="24"/>
              </w:rPr>
            </w:pPr>
            <w:r w:rsidRPr="00D22702">
              <w:rPr>
                <w:rFonts w:cs="Arial"/>
                <w:color w:val="000000"/>
                <w:sz w:val="24"/>
              </w:rPr>
              <w:t>7</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 xml:space="preserve">Step 1 </w:t>
            </w:r>
          </w:p>
        </w:tc>
        <w:tc>
          <w:tcPr>
            <w:tcW w:w="960" w:type="dxa"/>
            <w:tcBorders>
              <w:top w:val="nil"/>
              <w:left w:val="nil"/>
              <w:bottom w:val="single" w:sz="8" w:space="0" w:color="auto"/>
              <w:right w:val="single" w:sz="8" w:space="0" w:color="auto"/>
            </w:tcBorders>
            <w:shd w:val="clear" w:color="auto" w:fill="auto"/>
            <w:noWrap/>
            <w:vAlign w:val="center"/>
            <w:hideMark/>
          </w:tcPr>
          <w:p w:rsidR="00D22702" w:rsidRPr="00D22702" w:rsidRDefault="00D22702" w:rsidP="00D22702">
            <w:pPr>
              <w:jc w:val="right"/>
              <w:rPr>
                <w:rFonts w:cs="Arial"/>
                <w:color w:val="000000"/>
                <w:sz w:val="24"/>
              </w:rPr>
            </w:pPr>
            <w:r w:rsidRPr="00D22702">
              <w:rPr>
                <w:rFonts w:cs="Arial"/>
                <w:color w:val="000000"/>
                <w:sz w:val="24"/>
              </w:rPr>
              <w:t>30,567</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2</w:t>
            </w:r>
          </w:p>
        </w:tc>
        <w:tc>
          <w:tcPr>
            <w:tcW w:w="960" w:type="dxa"/>
            <w:tcBorders>
              <w:top w:val="nil"/>
              <w:left w:val="nil"/>
              <w:bottom w:val="single" w:sz="8" w:space="0" w:color="auto"/>
              <w:right w:val="single" w:sz="8" w:space="0" w:color="auto"/>
            </w:tcBorders>
            <w:shd w:val="clear" w:color="auto" w:fill="auto"/>
            <w:noWrap/>
            <w:vAlign w:val="center"/>
            <w:hideMark/>
          </w:tcPr>
          <w:p w:rsidR="00D22702" w:rsidRPr="00D22702" w:rsidRDefault="00D22702" w:rsidP="00D22702">
            <w:pPr>
              <w:jc w:val="right"/>
              <w:rPr>
                <w:rFonts w:cs="Arial"/>
                <w:color w:val="000000"/>
                <w:sz w:val="24"/>
              </w:rPr>
            </w:pPr>
            <w:r w:rsidRPr="00D22702">
              <w:rPr>
                <w:rFonts w:cs="Arial"/>
                <w:color w:val="000000"/>
                <w:sz w:val="24"/>
              </w:rPr>
              <w:t>31,586</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3</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32,605</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4</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33,624</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5</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34,643</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6</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35,662</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7</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36,681</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8</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37,700</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9</w:t>
            </w:r>
          </w:p>
        </w:tc>
        <w:tc>
          <w:tcPr>
            <w:tcW w:w="960" w:type="dxa"/>
            <w:tcBorders>
              <w:top w:val="nil"/>
              <w:left w:val="nil"/>
              <w:bottom w:val="single" w:sz="8" w:space="0" w:color="auto"/>
              <w:right w:val="single" w:sz="8" w:space="0" w:color="auto"/>
            </w:tcBorders>
            <w:shd w:val="clear" w:color="auto" w:fill="auto"/>
            <w:noWrap/>
            <w:vAlign w:val="center"/>
            <w:hideMark/>
          </w:tcPr>
          <w:p w:rsidR="00D22702" w:rsidRPr="00D22702" w:rsidRDefault="00D22702" w:rsidP="00D22702">
            <w:pPr>
              <w:jc w:val="right"/>
              <w:rPr>
                <w:rFonts w:cs="Arial"/>
                <w:color w:val="000000"/>
                <w:sz w:val="24"/>
              </w:rPr>
            </w:pPr>
            <w:r w:rsidRPr="00D22702">
              <w:rPr>
                <w:rFonts w:cs="Arial"/>
                <w:color w:val="000000"/>
                <w:sz w:val="24"/>
              </w:rPr>
              <w:t>38,719</w:t>
            </w:r>
          </w:p>
        </w:tc>
      </w:tr>
      <w:tr w:rsidR="00D22702" w:rsidRPr="00D22702"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D22702" w:rsidRPr="00D22702" w:rsidRDefault="00D22702" w:rsidP="00D22702">
            <w:pPr>
              <w:rPr>
                <w:rFonts w:cs="Arial"/>
                <w:color w:val="000000"/>
                <w:sz w:val="24"/>
              </w:rPr>
            </w:pPr>
            <w:r w:rsidRPr="00D22702">
              <w:rPr>
                <w:rFonts w:cs="Arial"/>
                <w:color w:val="000000"/>
                <w:sz w:val="24"/>
              </w:rPr>
              <w:t>Step 10</w:t>
            </w:r>
          </w:p>
        </w:tc>
        <w:tc>
          <w:tcPr>
            <w:tcW w:w="960" w:type="dxa"/>
            <w:tcBorders>
              <w:top w:val="nil"/>
              <w:left w:val="nil"/>
              <w:bottom w:val="single" w:sz="8" w:space="0" w:color="auto"/>
              <w:right w:val="single" w:sz="8" w:space="0" w:color="auto"/>
            </w:tcBorders>
            <w:shd w:val="clear" w:color="auto" w:fill="auto"/>
            <w:vAlign w:val="center"/>
            <w:hideMark/>
          </w:tcPr>
          <w:p w:rsidR="00D22702" w:rsidRPr="00D22702" w:rsidRDefault="00D22702" w:rsidP="00D22702">
            <w:pPr>
              <w:jc w:val="right"/>
              <w:rPr>
                <w:rFonts w:cs="Arial"/>
                <w:color w:val="000000"/>
                <w:sz w:val="24"/>
              </w:rPr>
            </w:pPr>
            <w:r w:rsidRPr="00D22702">
              <w:rPr>
                <w:rFonts w:cs="Arial"/>
                <w:color w:val="000000"/>
                <w:sz w:val="24"/>
              </w:rPr>
              <w:t>39,738</w:t>
            </w:r>
          </w:p>
        </w:tc>
      </w:tr>
    </w:tbl>
    <w:p w:rsidR="00BF7257" w:rsidRPr="00BF7257" w:rsidRDefault="00BF7257" w:rsidP="0018225B">
      <w:pPr>
        <w:rPr>
          <w:rFonts w:cs="Arial"/>
          <w:sz w:val="24"/>
        </w:rPr>
      </w:pPr>
    </w:p>
    <w:p w:rsidR="00BF7257" w:rsidRPr="00BF7257" w:rsidRDefault="00BF7257" w:rsidP="0018225B">
      <w:pPr>
        <w:ind w:left="1440"/>
        <w:rPr>
          <w:rFonts w:cs="Arial"/>
          <w:sz w:val="24"/>
        </w:rPr>
      </w:pPr>
      <w:r w:rsidRPr="00BF7257">
        <w:rPr>
          <w:rFonts w:cs="Arial"/>
          <w:sz w:val="24"/>
        </w:rPr>
        <w:t>Pay Plan/Series/Grade/Step: GS-301-7/9</w:t>
      </w:r>
    </w:p>
    <w:p w:rsidR="00BF7257" w:rsidRPr="00BF7257" w:rsidRDefault="00BF7257" w:rsidP="0018225B">
      <w:pPr>
        <w:ind w:left="1440"/>
        <w:rPr>
          <w:rFonts w:cs="Arial"/>
          <w:sz w:val="24"/>
        </w:rPr>
      </w:pPr>
      <w:r w:rsidRPr="00BF7257">
        <w:rPr>
          <w:rFonts w:cs="Arial"/>
          <w:sz w:val="24"/>
        </w:rPr>
        <w:t>Rate:  $38,719</w:t>
      </w:r>
    </w:p>
    <w:p w:rsidR="00130EB1" w:rsidRDefault="00BF7257" w:rsidP="00130EB1">
      <w:pPr>
        <w:ind w:left="1440"/>
        <w:rPr>
          <w:rFonts w:cs="Arial"/>
          <w:sz w:val="24"/>
        </w:rPr>
      </w:pPr>
      <w:r w:rsidRPr="00BF7257">
        <w:rPr>
          <w:rFonts w:cs="Arial"/>
          <w:sz w:val="24"/>
        </w:rPr>
        <w:t>This is the maximum payable GS rate the agency may pay the employee.</w:t>
      </w:r>
    </w:p>
    <w:p w:rsidR="00130EB1" w:rsidRPr="00130EB1" w:rsidRDefault="00130EB1" w:rsidP="00130EB1">
      <w:pPr>
        <w:ind w:left="1440"/>
        <w:rPr>
          <w:rFonts w:cs="Arial"/>
          <w:sz w:val="24"/>
        </w:rPr>
      </w:pPr>
    </w:p>
    <w:p w:rsidR="00CF769D" w:rsidRDefault="00130EB1" w:rsidP="00CF769D">
      <w:pPr>
        <w:pStyle w:val="Heading1"/>
        <w:framePr w:hSpace="0" w:wrap="auto" w:vAnchor="margin" w:hAnchor="text" w:yAlign="inline"/>
        <w:suppressOverlap w:val="0"/>
      </w:pPr>
      <w:r>
        <w:lastRenderedPageBreak/>
        <w:t>Step E</w:t>
      </w:r>
    </w:p>
    <w:p w:rsidR="00BF7257" w:rsidRPr="00BF7257" w:rsidRDefault="00BF7257" w:rsidP="0018225B">
      <w:pPr>
        <w:ind w:left="1440"/>
        <w:rPr>
          <w:rFonts w:cs="Arial"/>
          <w:sz w:val="24"/>
        </w:rPr>
      </w:pPr>
      <w:r w:rsidRPr="00BF7257">
        <w:rPr>
          <w:rFonts w:cs="Arial"/>
          <w:sz w:val="24"/>
        </w:rPr>
        <w:t xml:space="preserve">The agency may set the employee’s GS rate at any rate in the GS-7 rate range up to the Step 9 (in this scenario).  After setting the GS rate, the agency determines the employee’s payable locality rate corresponding to that GS Rate. </w:t>
      </w:r>
    </w:p>
    <w:p w:rsidR="00BF7257" w:rsidRPr="00130EB1" w:rsidRDefault="00BF7257" w:rsidP="00130EB1">
      <w:pPr>
        <w:pStyle w:val="Heading2"/>
      </w:pPr>
      <w:r w:rsidRPr="00130EB1">
        <w:t xml:space="preserve">Salary Table 2005- DCB  </w:t>
      </w:r>
    </w:p>
    <w:tbl>
      <w:tblPr>
        <w:tblW w:w="1920" w:type="dxa"/>
        <w:tblInd w:w="2880" w:type="dxa"/>
        <w:tblLook w:val="04A0" w:firstRow="1" w:lastRow="0" w:firstColumn="1" w:lastColumn="0" w:noHBand="0" w:noVBand="1"/>
        <w:tblCaption w:val="Salary Table 2005- DCB  Table "/>
      </w:tblPr>
      <w:tblGrid>
        <w:gridCol w:w="960"/>
        <w:gridCol w:w="960"/>
      </w:tblGrid>
      <w:tr w:rsidR="00A47E9F" w:rsidRPr="00A47E9F" w:rsidTr="00130EB1">
        <w:trPr>
          <w:cantSplit/>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bookmarkStart w:id="0" w:name="_GoBack"/>
            <w:r w:rsidRPr="00A47E9F">
              <w:rPr>
                <w:rFonts w:cs="Arial"/>
                <w:color w:val="000000"/>
                <w:sz w:val="24"/>
              </w:rPr>
              <w:t>Grade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47E9F" w:rsidRPr="00A47E9F" w:rsidRDefault="00A47E9F" w:rsidP="00A47E9F">
            <w:pPr>
              <w:jc w:val="right"/>
              <w:rPr>
                <w:rFonts w:cs="Arial"/>
                <w:color w:val="000000"/>
                <w:sz w:val="24"/>
              </w:rPr>
            </w:pPr>
            <w:r w:rsidRPr="00A47E9F">
              <w:rPr>
                <w:rFonts w:cs="Arial"/>
                <w:color w:val="000000"/>
                <w:sz w:val="24"/>
              </w:rPr>
              <w:t>7</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 xml:space="preserve">Step 1 </w:t>
            </w:r>
          </w:p>
        </w:tc>
        <w:tc>
          <w:tcPr>
            <w:tcW w:w="960" w:type="dxa"/>
            <w:tcBorders>
              <w:top w:val="nil"/>
              <w:left w:val="nil"/>
              <w:bottom w:val="single" w:sz="8" w:space="0" w:color="auto"/>
              <w:right w:val="single" w:sz="8" w:space="0" w:color="auto"/>
            </w:tcBorders>
            <w:shd w:val="clear" w:color="auto" w:fill="auto"/>
            <w:noWrap/>
            <w:vAlign w:val="center"/>
            <w:hideMark/>
          </w:tcPr>
          <w:p w:rsidR="00A47E9F" w:rsidRPr="00A47E9F" w:rsidRDefault="00A47E9F" w:rsidP="00A47E9F">
            <w:pPr>
              <w:jc w:val="right"/>
              <w:rPr>
                <w:rFonts w:cs="Arial"/>
                <w:color w:val="000000"/>
                <w:sz w:val="24"/>
              </w:rPr>
            </w:pPr>
            <w:r w:rsidRPr="00A47E9F">
              <w:rPr>
                <w:rFonts w:cs="Arial"/>
                <w:color w:val="000000"/>
                <w:sz w:val="24"/>
              </w:rPr>
              <w:t>35,452</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2</w:t>
            </w:r>
          </w:p>
        </w:tc>
        <w:tc>
          <w:tcPr>
            <w:tcW w:w="960" w:type="dxa"/>
            <w:tcBorders>
              <w:top w:val="nil"/>
              <w:left w:val="nil"/>
              <w:bottom w:val="single" w:sz="8" w:space="0" w:color="auto"/>
              <w:right w:val="single" w:sz="8" w:space="0" w:color="auto"/>
            </w:tcBorders>
            <w:shd w:val="clear" w:color="auto" w:fill="auto"/>
            <w:noWrap/>
            <w:vAlign w:val="center"/>
            <w:hideMark/>
          </w:tcPr>
          <w:p w:rsidR="00A47E9F" w:rsidRPr="00A47E9F" w:rsidRDefault="00A47E9F" w:rsidP="00A47E9F">
            <w:pPr>
              <w:jc w:val="right"/>
              <w:rPr>
                <w:rFonts w:cs="Arial"/>
                <w:color w:val="000000"/>
                <w:sz w:val="24"/>
              </w:rPr>
            </w:pPr>
            <w:r w:rsidRPr="00A47E9F">
              <w:rPr>
                <w:rFonts w:cs="Arial"/>
                <w:color w:val="000000"/>
                <w:sz w:val="24"/>
              </w:rPr>
              <w:t>36,633</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3</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37,815</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4</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38,997</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5</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40,179</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6</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41,361</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7</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42,543</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8</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43,724</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9</w:t>
            </w:r>
          </w:p>
        </w:tc>
        <w:tc>
          <w:tcPr>
            <w:tcW w:w="960" w:type="dxa"/>
            <w:tcBorders>
              <w:top w:val="nil"/>
              <w:left w:val="nil"/>
              <w:bottom w:val="single" w:sz="8" w:space="0" w:color="auto"/>
              <w:right w:val="single" w:sz="8" w:space="0" w:color="auto"/>
            </w:tcBorders>
            <w:shd w:val="clear" w:color="auto" w:fill="auto"/>
            <w:noWrap/>
            <w:vAlign w:val="center"/>
            <w:hideMark/>
          </w:tcPr>
          <w:p w:rsidR="00A47E9F" w:rsidRPr="00A47E9F" w:rsidRDefault="00A47E9F" w:rsidP="00A47E9F">
            <w:pPr>
              <w:jc w:val="right"/>
              <w:rPr>
                <w:rFonts w:cs="Arial"/>
                <w:color w:val="000000"/>
                <w:sz w:val="24"/>
              </w:rPr>
            </w:pPr>
            <w:r w:rsidRPr="00A47E9F">
              <w:rPr>
                <w:rFonts w:cs="Arial"/>
                <w:color w:val="000000"/>
                <w:sz w:val="24"/>
              </w:rPr>
              <w:t>44,906</w:t>
            </w:r>
          </w:p>
        </w:tc>
      </w:tr>
      <w:tr w:rsidR="00A47E9F" w:rsidRPr="00A47E9F" w:rsidTr="00130EB1">
        <w:trPr>
          <w:cantSplit/>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47E9F" w:rsidRPr="00A47E9F" w:rsidRDefault="00A47E9F" w:rsidP="00A47E9F">
            <w:pPr>
              <w:rPr>
                <w:rFonts w:cs="Arial"/>
                <w:color w:val="000000"/>
                <w:sz w:val="24"/>
              </w:rPr>
            </w:pPr>
            <w:r w:rsidRPr="00A47E9F">
              <w:rPr>
                <w:rFonts w:cs="Arial"/>
                <w:color w:val="000000"/>
                <w:sz w:val="24"/>
              </w:rPr>
              <w:t>Step 10</w:t>
            </w:r>
          </w:p>
        </w:tc>
        <w:tc>
          <w:tcPr>
            <w:tcW w:w="960" w:type="dxa"/>
            <w:tcBorders>
              <w:top w:val="nil"/>
              <w:left w:val="nil"/>
              <w:bottom w:val="single" w:sz="8" w:space="0" w:color="auto"/>
              <w:right w:val="single" w:sz="8" w:space="0" w:color="auto"/>
            </w:tcBorders>
            <w:shd w:val="clear" w:color="auto" w:fill="auto"/>
            <w:vAlign w:val="center"/>
            <w:hideMark/>
          </w:tcPr>
          <w:p w:rsidR="00A47E9F" w:rsidRPr="00A47E9F" w:rsidRDefault="00A47E9F" w:rsidP="00A47E9F">
            <w:pPr>
              <w:jc w:val="right"/>
              <w:rPr>
                <w:rFonts w:cs="Arial"/>
                <w:color w:val="000000"/>
                <w:sz w:val="24"/>
              </w:rPr>
            </w:pPr>
            <w:r w:rsidRPr="00A47E9F">
              <w:rPr>
                <w:rFonts w:cs="Arial"/>
                <w:color w:val="000000"/>
                <w:sz w:val="24"/>
              </w:rPr>
              <w:t>46,088</w:t>
            </w:r>
          </w:p>
        </w:tc>
      </w:tr>
      <w:bookmarkEnd w:id="0"/>
    </w:tbl>
    <w:p w:rsidR="00BF7257" w:rsidRPr="00BF7257" w:rsidRDefault="00BF7257" w:rsidP="0018225B">
      <w:pPr>
        <w:ind w:left="1440"/>
        <w:rPr>
          <w:rFonts w:cs="Arial"/>
          <w:sz w:val="24"/>
        </w:rPr>
      </w:pPr>
    </w:p>
    <w:p w:rsidR="00880D14" w:rsidRDefault="00BF7257" w:rsidP="00880D14">
      <w:pPr>
        <w:ind w:left="1440"/>
        <w:rPr>
          <w:rFonts w:cs="Arial"/>
          <w:sz w:val="24"/>
        </w:rPr>
      </w:pPr>
      <w:r w:rsidRPr="00BF7257">
        <w:rPr>
          <w:rFonts w:cs="Arial"/>
          <w:sz w:val="24"/>
        </w:rPr>
        <w:t>Pay Plan/Series/Grade/Step: GS-301-7/9</w:t>
      </w:r>
    </w:p>
    <w:p w:rsidR="00A15106" w:rsidRPr="00BF7257" w:rsidRDefault="00BF7257" w:rsidP="00880D14">
      <w:pPr>
        <w:ind w:left="1440"/>
        <w:rPr>
          <w:rFonts w:cs="Arial"/>
          <w:sz w:val="24"/>
        </w:rPr>
      </w:pPr>
      <w:r w:rsidRPr="00BF7257">
        <w:rPr>
          <w:rFonts w:cs="Arial"/>
          <w:sz w:val="24"/>
        </w:rPr>
        <w:t>Rate:  $44,906</w:t>
      </w:r>
    </w:p>
    <w:p w:rsidR="00A15106" w:rsidRPr="005151FF" w:rsidRDefault="00A15106" w:rsidP="00273789">
      <w:pPr>
        <w:spacing w:before="240"/>
        <w:rPr>
          <w:rFonts w:cs="Arial"/>
          <w:sz w:val="24"/>
        </w:rPr>
      </w:pPr>
      <w:r w:rsidRPr="00BC56DC">
        <w:rPr>
          <w:rStyle w:val="Strong"/>
        </w:rPr>
        <w:t>Employee’s Position Title:</w:t>
      </w:r>
      <w:r w:rsidRPr="005151FF">
        <w:rPr>
          <w:rFonts w:cs="Arial"/>
          <w:sz w:val="24"/>
        </w:rPr>
        <w:t xml:space="preserve"> </w:t>
      </w:r>
      <w:r w:rsidRPr="005151FF">
        <w:rPr>
          <w:rFonts w:cs="Arial"/>
          <w:bCs/>
          <w:sz w:val="24"/>
        </w:rPr>
        <w:t>Administrative Officer</w:t>
      </w:r>
    </w:p>
    <w:p w:rsidR="00A15106" w:rsidRPr="005151FF" w:rsidRDefault="00A15106" w:rsidP="005151FF">
      <w:pPr>
        <w:rPr>
          <w:rFonts w:cs="Arial"/>
          <w:sz w:val="24"/>
        </w:rPr>
      </w:pPr>
      <w:r w:rsidRPr="00BC56DC">
        <w:rPr>
          <w:rStyle w:val="Strong"/>
        </w:rPr>
        <w:t>Pay Plan, Series, Grade and Step:</w:t>
      </w:r>
      <w:r w:rsidRPr="005151FF">
        <w:rPr>
          <w:rFonts w:cs="Arial"/>
          <w:sz w:val="24"/>
        </w:rPr>
        <w:t xml:space="preserve">  GS-341-7/9</w:t>
      </w:r>
    </w:p>
    <w:p w:rsidR="00A15106" w:rsidRPr="005151FF" w:rsidRDefault="00A15106" w:rsidP="005151FF">
      <w:pPr>
        <w:rPr>
          <w:rFonts w:cs="Arial"/>
          <w:sz w:val="24"/>
        </w:rPr>
      </w:pPr>
      <w:r w:rsidRPr="00BC56DC">
        <w:rPr>
          <w:rStyle w:val="Strong"/>
        </w:rPr>
        <w:t>Rate of Basic Pay:</w:t>
      </w:r>
      <w:r w:rsidRPr="005151FF">
        <w:rPr>
          <w:rFonts w:cs="Arial"/>
          <w:sz w:val="24"/>
        </w:rPr>
        <w:t xml:space="preserve">  $44,906</w:t>
      </w:r>
    </w:p>
    <w:sectPr w:rsidR="00A15106" w:rsidRPr="005151FF">
      <w:headerReference w:type="even" r:id="rId8"/>
      <w:headerReference w:type="first" r:id="rId9"/>
      <w:pgSz w:w="12240" w:h="15840" w:code="1"/>
      <w:pgMar w:top="3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0A" w:rsidRDefault="00062E0A">
      <w:r>
        <w:separator/>
      </w:r>
    </w:p>
  </w:endnote>
  <w:endnote w:type="continuationSeparator" w:id="0">
    <w:p w:rsidR="00062E0A" w:rsidRDefault="000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0A" w:rsidRDefault="00062E0A">
      <w:r>
        <w:separator/>
      </w:r>
    </w:p>
  </w:footnote>
  <w:footnote w:type="continuationSeparator" w:id="0">
    <w:p w:rsidR="00062E0A" w:rsidRDefault="0006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D5" w:rsidRDefault="00130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black"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D5" w:rsidRDefault="00130E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black"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E062C"/>
    <w:lvl w:ilvl="0">
      <w:start w:val="1"/>
      <w:numFmt w:val="decimal"/>
      <w:lvlText w:val="%1."/>
      <w:lvlJc w:val="left"/>
      <w:pPr>
        <w:tabs>
          <w:tab w:val="num" w:pos="1800"/>
        </w:tabs>
        <w:ind w:left="1800" w:hanging="360"/>
      </w:pPr>
    </w:lvl>
  </w:abstractNum>
  <w:abstractNum w:abstractNumId="1">
    <w:nsid w:val="FFFFFF7D"/>
    <w:multiLevelType w:val="singleLevel"/>
    <w:tmpl w:val="67B62342"/>
    <w:lvl w:ilvl="0">
      <w:start w:val="1"/>
      <w:numFmt w:val="decimal"/>
      <w:lvlText w:val="%1."/>
      <w:lvlJc w:val="left"/>
      <w:pPr>
        <w:tabs>
          <w:tab w:val="num" w:pos="1440"/>
        </w:tabs>
        <w:ind w:left="1440" w:hanging="360"/>
      </w:pPr>
    </w:lvl>
  </w:abstractNum>
  <w:abstractNum w:abstractNumId="2">
    <w:nsid w:val="FFFFFF7E"/>
    <w:multiLevelType w:val="singleLevel"/>
    <w:tmpl w:val="D1FE9520"/>
    <w:lvl w:ilvl="0">
      <w:start w:val="1"/>
      <w:numFmt w:val="decimal"/>
      <w:lvlText w:val="%1."/>
      <w:lvlJc w:val="left"/>
      <w:pPr>
        <w:tabs>
          <w:tab w:val="num" w:pos="1080"/>
        </w:tabs>
        <w:ind w:left="1080" w:hanging="360"/>
      </w:pPr>
    </w:lvl>
  </w:abstractNum>
  <w:abstractNum w:abstractNumId="3">
    <w:nsid w:val="FFFFFF7F"/>
    <w:multiLevelType w:val="singleLevel"/>
    <w:tmpl w:val="431253F2"/>
    <w:lvl w:ilvl="0">
      <w:start w:val="1"/>
      <w:numFmt w:val="decimal"/>
      <w:lvlText w:val="%1."/>
      <w:lvlJc w:val="left"/>
      <w:pPr>
        <w:tabs>
          <w:tab w:val="num" w:pos="720"/>
        </w:tabs>
        <w:ind w:left="720" w:hanging="360"/>
      </w:pPr>
    </w:lvl>
  </w:abstractNum>
  <w:abstractNum w:abstractNumId="4">
    <w:nsid w:val="FFFFFF80"/>
    <w:multiLevelType w:val="singleLevel"/>
    <w:tmpl w:val="F12CB8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B4E9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90B7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EC95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563234"/>
    <w:lvl w:ilvl="0">
      <w:start w:val="1"/>
      <w:numFmt w:val="decimal"/>
      <w:lvlText w:val="%1."/>
      <w:lvlJc w:val="left"/>
      <w:pPr>
        <w:tabs>
          <w:tab w:val="num" w:pos="360"/>
        </w:tabs>
        <w:ind w:left="360" w:hanging="360"/>
      </w:pPr>
    </w:lvl>
  </w:abstractNum>
  <w:abstractNum w:abstractNumId="9">
    <w:nsid w:val="FFFFFF89"/>
    <w:multiLevelType w:val="singleLevel"/>
    <w:tmpl w:val="962CBE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61"/>
    <w:rsid w:val="000149AC"/>
    <w:rsid w:val="00026267"/>
    <w:rsid w:val="00062E0A"/>
    <w:rsid w:val="00130EB1"/>
    <w:rsid w:val="0018225B"/>
    <w:rsid w:val="001E0064"/>
    <w:rsid w:val="00273789"/>
    <w:rsid w:val="003108EA"/>
    <w:rsid w:val="00393D61"/>
    <w:rsid w:val="003E52AC"/>
    <w:rsid w:val="005151FF"/>
    <w:rsid w:val="005E633C"/>
    <w:rsid w:val="007A1F4A"/>
    <w:rsid w:val="0087001F"/>
    <w:rsid w:val="00880D14"/>
    <w:rsid w:val="008D52FB"/>
    <w:rsid w:val="00A15106"/>
    <w:rsid w:val="00A47E9F"/>
    <w:rsid w:val="00BC56DC"/>
    <w:rsid w:val="00BF7257"/>
    <w:rsid w:val="00CF769D"/>
    <w:rsid w:val="00D22702"/>
    <w:rsid w:val="00E025A4"/>
    <w:rsid w:val="00E30C6E"/>
    <w:rsid w:val="00EC7635"/>
    <w:rsid w:val="00EE32D5"/>
    <w:rsid w:val="00F0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EB1"/>
    <w:rPr>
      <w:rFonts w:ascii="Arial" w:hAnsi="Arial"/>
      <w:sz w:val="22"/>
      <w:szCs w:val="24"/>
    </w:rPr>
  </w:style>
  <w:style w:type="paragraph" w:styleId="Heading1">
    <w:name w:val="heading 1"/>
    <w:basedOn w:val="Normal"/>
    <w:next w:val="Normal"/>
    <w:qFormat/>
    <w:rsid w:val="00CF769D"/>
    <w:pPr>
      <w:framePr w:hSpace="180" w:wrap="around" w:vAnchor="text" w:hAnchor="margin" w:y="93"/>
      <w:spacing w:before="100" w:beforeAutospacing="1" w:after="100" w:afterAutospacing="1"/>
      <w:suppressOverlap/>
      <w:outlineLvl w:val="0"/>
    </w:pPr>
    <w:rPr>
      <w:rFonts w:cs="Arial"/>
      <w:b/>
      <w:bCs/>
      <w:color w:val="800000"/>
      <w:sz w:val="24"/>
      <w:szCs w:val="20"/>
    </w:rPr>
  </w:style>
  <w:style w:type="paragraph" w:styleId="Heading2">
    <w:name w:val="heading 2"/>
    <w:basedOn w:val="Normal"/>
    <w:next w:val="Normal"/>
    <w:link w:val="Heading2Char"/>
    <w:qFormat/>
    <w:rsid w:val="00130EB1"/>
    <w:pPr>
      <w:ind w:left="2880"/>
      <w:outlineLvl w:val="1"/>
    </w:pPr>
    <w:rPr>
      <w:b/>
    </w:rPr>
  </w:style>
  <w:style w:type="paragraph" w:styleId="Heading3">
    <w:name w:val="heading 3"/>
    <w:basedOn w:val="Normal"/>
    <w:next w:val="Normal"/>
    <w:qFormat/>
    <w:pPr>
      <w:keepNext/>
      <w:framePr w:hSpace="180" w:wrap="around" w:vAnchor="text" w:hAnchor="margin" w:y="391"/>
      <w:spacing w:before="100" w:beforeAutospacing="1" w:after="100" w:afterAutospacing="1"/>
      <w:suppressOverlap/>
      <w:outlineLvl w:val="2"/>
    </w:pPr>
    <w:rPr>
      <w:rFonts w:cs="Arial"/>
      <w:b/>
      <w:bCs/>
      <w:color w:val="8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spacing w:before="100" w:beforeAutospacing="1" w:after="100" w:afterAutospacing="1"/>
    </w:pPr>
    <w:rPr>
      <w:rFonts w:cs="Arial"/>
      <w:color w:val="000000"/>
      <w:sz w:val="19"/>
      <w:szCs w:val="19"/>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cs="Arial"/>
      <w:b/>
      <w:sz w:val="28"/>
      <w:szCs w:val="28"/>
    </w:rPr>
  </w:style>
  <w:style w:type="paragraph" w:styleId="BodyText2">
    <w:name w:val="Body Text 2"/>
    <w:basedOn w:val="Normal"/>
    <w:link w:val="BodyText2Char"/>
    <w:pPr>
      <w:framePr w:hSpace="180" w:wrap="around" w:vAnchor="text" w:hAnchor="margin" w:y="-20"/>
      <w:spacing w:before="100" w:beforeAutospacing="1" w:after="100" w:afterAutospacing="1"/>
      <w:suppressOverlap/>
    </w:pPr>
    <w:rPr>
      <w:rFonts w:cs="Arial"/>
      <w:sz w:val="18"/>
    </w:rPr>
  </w:style>
  <w:style w:type="table" w:customStyle="1" w:styleId="TableStyle1">
    <w:name w:val="Table Style 1"/>
    <w:basedOn w:val="TableNormal"/>
    <w:rsid w:val="00E30C6E"/>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E30C6E"/>
    <w:rPr>
      <w:rFonts w:ascii="Arial" w:hAnsi="Arial" w:cs="Arial"/>
      <w:sz w:val="18"/>
      <w:szCs w:val="24"/>
      <w:lang w:val="en-US" w:eastAsia="en-US" w:bidi="ar-SA"/>
    </w:rPr>
  </w:style>
  <w:style w:type="character" w:customStyle="1" w:styleId="Heading2Char">
    <w:name w:val="Heading 2 Char"/>
    <w:basedOn w:val="DefaultParagraphFont"/>
    <w:link w:val="Heading2"/>
    <w:rsid w:val="00130EB1"/>
    <w:rPr>
      <w:rFonts w:ascii="Arial" w:hAnsi="Arial"/>
      <w:b/>
      <w:sz w:val="22"/>
      <w:szCs w:val="24"/>
    </w:rPr>
  </w:style>
  <w:style w:type="table" w:styleId="TableGrid">
    <w:name w:val="Table Grid"/>
    <w:basedOn w:val="TableNormal"/>
    <w:rsid w:val="0002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E52AC"/>
    <w:rPr>
      <w:rFonts w:ascii="Arial" w:hAnsi="Arial"/>
      <w:b/>
      <w:bCs/>
      <w:sz w:val="24"/>
    </w:rPr>
  </w:style>
  <w:style w:type="paragraph" w:styleId="Subtitle">
    <w:name w:val="Subtitle"/>
    <w:basedOn w:val="Normal"/>
    <w:next w:val="Normal"/>
    <w:link w:val="SubtitleChar"/>
    <w:qFormat/>
    <w:rsid w:val="00130EB1"/>
    <w:pPr>
      <w:pBdr>
        <w:top w:val="single" w:sz="4" w:space="1" w:color="auto"/>
        <w:left w:val="single" w:sz="4" w:space="4" w:color="auto"/>
        <w:bottom w:val="single" w:sz="4" w:space="1" w:color="auto"/>
        <w:right w:val="single" w:sz="4" w:space="4" w:color="auto"/>
      </w:pBdr>
      <w:jc w:val="center"/>
    </w:pPr>
  </w:style>
  <w:style w:type="character" w:customStyle="1" w:styleId="BodyTextChar">
    <w:name w:val="Body Text Char"/>
    <w:basedOn w:val="DefaultParagraphFont"/>
    <w:link w:val="BodyText"/>
    <w:rsid w:val="00130EB1"/>
    <w:rPr>
      <w:rFonts w:ascii="Arial" w:hAnsi="Arial" w:cs="Arial"/>
      <w:color w:val="000000"/>
      <w:sz w:val="19"/>
      <w:szCs w:val="19"/>
    </w:rPr>
  </w:style>
  <w:style w:type="character" w:customStyle="1" w:styleId="CommentTextChar">
    <w:name w:val="Comment Text Char"/>
    <w:basedOn w:val="DefaultParagraphFont"/>
    <w:link w:val="CommentText"/>
    <w:semiHidden/>
    <w:rsid w:val="00130EB1"/>
    <w:rPr>
      <w:rFonts w:ascii="Arial" w:hAnsi="Arial"/>
    </w:rPr>
  </w:style>
  <w:style w:type="character" w:customStyle="1" w:styleId="SubtitleChar">
    <w:name w:val="Subtitle Char"/>
    <w:basedOn w:val="DefaultParagraphFont"/>
    <w:link w:val="Subtitle"/>
    <w:rsid w:val="00130EB1"/>
    <w:rPr>
      <w:rFonts w:ascii="Arial" w:hAnsi="Arial"/>
      <w:sz w:val="22"/>
      <w:szCs w:val="24"/>
    </w:rPr>
  </w:style>
  <w:style w:type="character" w:customStyle="1" w:styleId="Subtitlebold">
    <w:name w:val="Subtitle bold"/>
    <w:basedOn w:val="Strong"/>
    <w:rsid w:val="00130EB1"/>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EB1"/>
    <w:rPr>
      <w:rFonts w:ascii="Arial" w:hAnsi="Arial"/>
      <w:sz w:val="22"/>
      <w:szCs w:val="24"/>
    </w:rPr>
  </w:style>
  <w:style w:type="paragraph" w:styleId="Heading1">
    <w:name w:val="heading 1"/>
    <w:basedOn w:val="Normal"/>
    <w:next w:val="Normal"/>
    <w:qFormat/>
    <w:rsid w:val="00CF769D"/>
    <w:pPr>
      <w:framePr w:hSpace="180" w:wrap="around" w:vAnchor="text" w:hAnchor="margin" w:y="93"/>
      <w:spacing w:before="100" w:beforeAutospacing="1" w:after="100" w:afterAutospacing="1"/>
      <w:suppressOverlap/>
      <w:outlineLvl w:val="0"/>
    </w:pPr>
    <w:rPr>
      <w:rFonts w:cs="Arial"/>
      <w:b/>
      <w:bCs/>
      <w:color w:val="800000"/>
      <w:sz w:val="24"/>
      <w:szCs w:val="20"/>
    </w:rPr>
  </w:style>
  <w:style w:type="paragraph" w:styleId="Heading2">
    <w:name w:val="heading 2"/>
    <w:basedOn w:val="Normal"/>
    <w:next w:val="Normal"/>
    <w:link w:val="Heading2Char"/>
    <w:qFormat/>
    <w:rsid w:val="00130EB1"/>
    <w:pPr>
      <w:ind w:left="2880"/>
      <w:outlineLvl w:val="1"/>
    </w:pPr>
    <w:rPr>
      <w:b/>
    </w:rPr>
  </w:style>
  <w:style w:type="paragraph" w:styleId="Heading3">
    <w:name w:val="heading 3"/>
    <w:basedOn w:val="Normal"/>
    <w:next w:val="Normal"/>
    <w:qFormat/>
    <w:pPr>
      <w:keepNext/>
      <w:framePr w:hSpace="180" w:wrap="around" w:vAnchor="text" w:hAnchor="margin" w:y="391"/>
      <w:spacing w:before="100" w:beforeAutospacing="1" w:after="100" w:afterAutospacing="1"/>
      <w:suppressOverlap/>
      <w:outlineLvl w:val="2"/>
    </w:pPr>
    <w:rPr>
      <w:rFonts w:cs="Arial"/>
      <w:b/>
      <w:bCs/>
      <w:color w:val="8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spacing w:before="100" w:beforeAutospacing="1" w:after="100" w:afterAutospacing="1"/>
    </w:pPr>
    <w:rPr>
      <w:rFonts w:cs="Arial"/>
      <w:color w:val="000000"/>
      <w:sz w:val="19"/>
      <w:szCs w:val="19"/>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cs="Arial"/>
      <w:b/>
      <w:sz w:val="28"/>
      <w:szCs w:val="28"/>
    </w:rPr>
  </w:style>
  <w:style w:type="paragraph" w:styleId="BodyText2">
    <w:name w:val="Body Text 2"/>
    <w:basedOn w:val="Normal"/>
    <w:link w:val="BodyText2Char"/>
    <w:pPr>
      <w:framePr w:hSpace="180" w:wrap="around" w:vAnchor="text" w:hAnchor="margin" w:y="-20"/>
      <w:spacing w:before="100" w:beforeAutospacing="1" w:after="100" w:afterAutospacing="1"/>
      <w:suppressOverlap/>
    </w:pPr>
    <w:rPr>
      <w:rFonts w:cs="Arial"/>
      <w:sz w:val="18"/>
    </w:rPr>
  </w:style>
  <w:style w:type="table" w:customStyle="1" w:styleId="TableStyle1">
    <w:name w:val="Table Style 1"/>
    <w:basedOn w:val="TableNormal"/>
    <w:rsid w:val="00E30C6E"/>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E30C6E"/>
    <w:rPr>
      <w:rFonts w:ascii="Arial" w:hAnsi="Arial" w:cs="Arial"/>
      <w:sz w:val="18"/>
      <w:szCs w:val="24"/>
      <w:lang w:val="en-US" w:eastAsia="en-US" w:bidi="ar-SA"/>
    </w:rPr>
  </w:style>
  <w:style w:type="character" w:customStyle="1" w:styleId="Heading2Char">
    <w:name w:val="Heading 2 Char"/>
    <w:basedOn w:val="DefaultParagraphFont"/>
    <w:link w:val="Heading2"/>
    <w:rsid w:val="00130EB1"/>
    <w:rPr>
      <w:rFonts w:ascii="Arial" w:hAnsi="Arial"/>
      <w:b/>
      <w:sz w:val="22"/>
      <w:szCs w:val="24"/>
    </w:rPr>
  </w:style>
  <w:style w:type="table" w:styleId="TableGrid">
    <w:name w:val="Table Grid"/>
    <w:basedOn w:val="TableNormal"/>
    <w:rsid w:val="0002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E52AC"/>
    <w:rPr>
      <w:rFonts w:ascii="Arial" w:hAnsi="Arial"/>
      <w:b/>
      <w:bCs/>
      <w:sz w:val="24"/>
    </w:rPr>
  </w:style>
  <w:style w:type="paragraph" w:styleId="Subtitle">
    <w:name w:val="Subtitle"/>
    <w:basedOn w:val="Normal"/>
    <w:next w:val="Normal"/>
    <w:link w:val="SubtitleChar"/>
    <w:qFormat/>
    <w:rsid w:val="00130EB1"/>
    <w:pPr>
      <w:pBdr>
        <w:top w:val="single" w:sz="4" w:space="1" w:color="auto"/>
        <w:left w:val="single" w:sz="4" w:space="4" w:color="auto"/>
        <w:bottom w:val="single" w:sz="4" w:space="1" w:color="auto"/>
        <w:right w:val="single" w:sz="4" w:space="4" w:color="auto"/>
      </w:pBdr>
      <w:jc w:val="center"/>
    </w:pPr>
  </w:style>
  <w:style w:type="character" w:customStyle="1" w:styleId="BodyTextChar">
    <w:name w:val="Body Text Char"/>
    <w:basedOn w:val="DefaultParagraphFont"/>
    <w:link w:val="BodyText"/>
    <w:rsid w:val="00130EB1"/>
    <w:rPr>
      <w:rFonts w:ascii="Arial" w:hAnsi="Arial" w:cs="Arial"/>
      <w:color w:val="000000"/>
      <w:sz w:val="19"/>
      <w:szCs w:val="19"/>
    </w:rPr>
  </w:style>
  <w:style w:type="character" w:customStyle="1" w:styleId="CommentTextChar">
    <w:name w:val="Comment Text Char"/>
    <w:basedOn w:val="DefaultParagraphFont"/>
    <w:link w:val="CommentText"/>
    <w:semiHidden/>
    <w:rsid w:val="00130EB1"/>
    <w:rPr>
      <w:rFonts w:ascii="Arial" w:hAnsi="Arial"/>
    </w:rPr>
  </w:style>
  <w:style w:type="character" w:customStyle="1" w:styleId="SubtitleChar">
    <w:name w:val="Subtitle Char"/>
    <w:basedOn w:val="DefaultParagraphFont"/>
    <w:link w:val="Subtitle"/>
    <w:rsid w:val="00130EB1"/>
    <w:rPr>
      <w:rFonts w:ascii="Arial" w:hAnsi="Arial"/>
      <w:sz w:val="22"/>
      <w:szCs w:val="24"/>
    </w:rPr>
  </w:style>
  <w:style w:type="character" w:customStyle="1" w:styleId="Subtitlebold">
    <w:name w:val="Subtitle bold"/>
    <w:basedOn w:val="Strong"/>
    <w:rsid w:val="00130EB1"/>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882">
      <w:bodyDiv w:val="1"/>
      <w:marLeft w:val="0"/>
      <w:marRight w:val="0"/>
      <w:marTop w:val="0"/>
      <w:marBottom w:val="0"/>
      <w:divBdr>
        <w:top w:val="none" w:sz="0" w:space="0" w:color="auto"/>
        <w:left w:val="none" w:sz="0" w:space="0" w:color="auto"/>
        <w:bottom w:val="none" w:sz="0" w:space="0" w:color="auto"/>
        <w:right w:val="none" w:sz="0" w:space="0" w:color="auto"/>
      </w:divBdr>
    </w:div>
    <w:div w:id="256838055">
      <w:bodyDiv w:val="1"/>
      <w:marLeft w:val="0"/>
      <w:marRight w:val="0"/>
      <w:marTop w:val="0"/>
      <w:marBottom w:val="0"/>
      <w:divBdr>
        <w:top w:val="none" w:sz="0" w:space="0" w:color="auto"/>
        <w:left w:val="none" w:sz="0" w:space="0" w:color="auto"/>
        <w:bottom w:val="none" w:sz="0" w:space="0" w:color="auto"/>
        <w:right w:val="none" w:sz="0" w:space="0" w:color="auto"/>
      </w:divBdr>
    </w:div>
    <w:div w:id="611324631">
      <w:bodyDiv w:val="1"/>
      <w:marLeft w:val="0"/>
      <w:marRight w:val="0"/>
      <w:marTop w:val="0"/>
      <w:marBottom w:val="0"/>
      <w:divBdr>
        <w:top w:val="none" w:sz="0" w:space="0" w:color="auto"/>
        <w:left w:val="none" w:sz="0" w:space="0" w:color="auto"/>
        <w:bottom w:val="none" w:sz="0" w:space="0" w:color="auto"/>
        <w:right w:val="none" w:sz="0" w:space="0" w:color="auto"/>
      </w:divBdr>
    </w:div>
    <w:div w:id="893543910">
      <w:bodyDiv w:val="1"/>
      <w:marLeft w:val="0"/>
      <w:marRight w:val="0"/>
      <w:marTop w:val="0"/>
      <w:marBottom w:val="0"/>
      <w:divBdr>
        <w:top w:val="none" w:sz="0" w:space="0" w:color="auto"/>
        <w:left w:val="none" w:sz="0" w:space="0" w:color="auto"/>
        <w:bottom w:val="none" w:sz="0" w:space="0" w:color="auto"/>
        <w:right w:val="none" w:sz="0" w:space="0" w:color="auto"/>
      </w:divBdr>
    </w:div>
    <w:div w:id="12510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Example - Reappointment Using GS Rate as Highest Previous Rate (HPR)</vt:lpstr>
    </vt:vector>
  </TitlesOfParts>
  <Company>CDC/ATSDR</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Reappointment Using GS Rate as Highest Previous Rate (HPR)</dc:title>
  <dc:subject>Pay Setting Worksheet</dc:subject>
  <dc:creator>U.S. Department of Health and Human Services (HHS)</dc:creator>
  <cp:keywords>pay setting, worksheet, example, sample, GS rate, HPR, highest previous rate</cp:keywords>
  <dc:description>Passed word accessibility checker 8/23/2012</dc:description>
  <cp:lastModifiedBy>Pham, Kimlinh (NIH/OD) [E]</cp:lastModifiedBy>
  <cp:revision>2</cp:revision>
  <cp:lastPrinted>2005-07-20T15:56:00Z</cp:lastPrinted>
  <dcterms:created xsi:type="dcterms:W3CDTF">2012-08-28T18:09:00Z</dcterms:created>
  <dcterms:modified xsi:type="dcterms:W3CDTF">2012-08-28T18:09:00Z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